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16" w:rsidRPr="006F1292" w:rsidRDefault="004B6616" w:rsidP="004B6616">
      <w:pPr>
        <w:jc w:val="both"/>
        <w:rPr>
          <w:rFonts w:ascii="Arial" w:hAnsi="Arial" w:cs="Arial"/>
          <w:b/>
        </w:rPr>
      </w:pPr>
      <w:r w:rsidRPr="006F1292">
        <w:rPr>
          <w:rFonts w:ascii="Arial" w:hAnsi="Arial" w:cs="Arial"/>
          <w:b/>
        </w:rPr>
        <w:t xml:space="preserve">VACCINAZIONE ANTIPNEUMOCOCCICA  </w:t>
      </w:r>
    </w:p>
    <w:p w:rsidR="004B6616" w:rsidRPr="006F1292" w:rsidRDefault="004B6616" w:rsidP="004B6616">
      <w:pPr>
        <w:jc w:val="both"/>
        <w:rPr>
          <w:rFonts w:ascii="Arial" w:hAnsi="Arial" w:cs="Arial"/>
          <w:b/>
        </w:rPr>
      </w:pPr>
      <w:r w:rsidRPr="006F1292">
        <w:rPr>
          <w:rFonts w:ascii="Arial" w:hAnsi="Arial" w:cs="Arial"/>
          <w:b/>
        </w:rPr>
        <w:t xml:space="preserve">Che cosa sono le malattie invasive pneumococciche </w:t>
      </w:r>
    </w:p>
    <w:p w:rsidR="004B6616" w:rsidRPr="006F1292" w:rsidRDefault="004B6616" w:rsidP="004B6616">
      <w:pPr>
        <w:jc w:val="both"/>
        <w:rPr>
          <w:rFonts w:ascii="Arial" w:hAnsi="Arial" w:cs="Arial"/>
        </w:rPr>
      </w:pPr>
      <w:r w:rsidRPr="006F1292">
        <w:rPr>
          <w:rFonts w:ascii="Arial" w:hAnsi="Arial" w:cs="Arial"/>
        </w:rPr>
        <w:t>Sono malattie causate da un batterio denominato Pneumococco (</w:t>
      </w:r>
      <w:proofErr w:type="spellStart"/>
      <w:r w:rsidRPr="006F1292">
        <w:rPr>
          <w:rFonts w:ascii="Arial" w:hAnsi="Arial" w:cs="Arial"/>
        </w:rPr>
        <w:t>Streptococcus</w:t>
      </w:r>
      <w:proofErr w:type="spellEnd"/>
      <w:r w:rsidRPr="006F1292">
        <w:rPr>
          <w:rFonts w:ascii="Arial" w:hAnsi="Arial" w:cs="Arial"/>
        </w:rPr>
        <w:t xml:space="preserve"> </w:t>
      </w:r>
      <w:proofErr w:type="spellStart"/>
      <w:r w:rsidRPr="006F1292">
        <w:rPr>
          <w:rFonts w:ascii="Arial" w:hAnsi="Arial" w:cs="Arial"/>
        </w:rPr>
        <w:t>pneu</w:t>
      </w:r>
      <w:r w:rsidR="00ED3F05">
        <w:rPr>
          <w:rFonts w:ascii="Arial" w:hAnsi="Arial" w:cs="Arial"/>
        </w:rPr>
        <w:t>moniae</w:t>
      </w:r>
      <w:proofErr w:type="spellEnd"/>
      <w:r w:rsidR="00ED3F05">
        <w:rPr>
          <w:rFonts w:ascii="Arial" w:hAnsi="Arial" w:cs="Arial"/>
        </w:rPr>
        <w:t>), di cui esistono più di 20</w:t>
      </w:r>
      <w:r w:rsidRPr="006F1292">
        <w:rPr>
          <w:rFonts w:ascii="Arial" w:hAnsi="Arial" w:cs="Arial"/>
        </w:rPr>
        <w:t xml:space="preserve"> varianti (sierotipi). Il batterio si diffonde nel sangue (setticemia) o nel sistema nervoso centrale (meningite) con conseguenze patologiche molto gravi ed anche mortali.  Sono malattie più frequenti nei bambini di età inferiore ai 5 anni, nelle persone di età superiore ai 64 anni e, indipendentemente dall’</w:t>
      </w:r>
      <w:r w:rsidR="007573AC">
        <w:rPr>
          <w:rFonts w:ascii="Arial" w:hAnsi="Arial" w:cs="Arial"/>
        </w:rPr>
        <w:t>età, nelle persone affette da</w:t>
      </w:r>
      <w:r w:rsidRPr="006F1292">
        <w:rPr>
          <w:rFonts w:ascii="Arial" w:hAnsi="Arial" w:cs="Arial"/>
        </w:rPr>
        <w:t xml:space="preserve"> patolog</w:t>
      </w:r>
      <w:r w:rsidR="007573AC">
        <w:rPr>
          <w:rFonts w:ascii="Arial" w:hAnsi="Arial" w:cs="Arial"/>
        </w:rPr>
        <w:t>ie predisponenti.</w:t>
      </w:r>
      <w:r w:rsidRPr="006F1292">
        <w:rPr>
          <w:rFonts w:ascii="Arial" w:hAnsi="Arial" w:cs="Arial"/>
        </w:rPr>
        <w:t xml:space="preserve"> Gli stessi batteri sono anche responsabili di otiti e polmoniti che possono avere un decorso grave.</w:t>
      </w:r>
    </w:p>
    <w:p w:rsidR="004B6616" w:rsidRPr="006F1292" w:rsidRDefault="004B6616" w:rsidP="004B6616">
      <w:pPr>
        <w:jc w:val="both"/>
        <w:rPr>
          <w:rFonts w:ascii="Arial" w:hAnsi="Arial" w:cs="Arial"/>
          <w:b/>
        </w:rPr>
      </w:pPr>
      <w:r w:rsidRPr="006F1292">
        <w:rPr>
          <w:rFonts w:ascii="Arial" w:hAnsi="Arial" w:cs="Arial"/>
          <w:b/>
        </w:rPr>
        <w:t xml:space="preserve">Che cosa è la vaccinazione e come si fa </w:t>
      </w:r>
    </w:p>
    <w:p w:rsidR="004B6616" w:rsidRPr="006F1292" w:rsidRDefault="00ED3F05" w:rsidP="00ED3F05">
      <w:pPr>
        <w:tabs>
          <w:tab w:val="num" w:pos="720"/>
        </w:tabs>
        <w:jc w:val="both"/>
        <w:rPr>
          <w:rFonts w:ascii="Arial" w:hAnsi="Arial" w:cs="Arial"/>
        </w:rPr>
      </w:pPr>
      <w:r w:rsidRPr="00ED3F05">
        <w:rPr>
          <w:rFonts w:ascii="Arial" w:hAnsi="Arial" w:cs="Arial"/>
        </w:rPr>
        <w:t xml:space="preserve">Sono disponibili due tipi di vaccino </w:t>
      </w:r>
      <w:proofErr w:type="spellStart"/>
      <w:r w:rsidRPr="00ED3F05">
        <w:rPr>
          <w:rFonts w:ascii="Arial" w:hAnsi="Arial" w:cs="Arial"/>
        </w:rPr>
        <w:t>antipneumococcico</w:t>
      </w:r>
      <w:proofErr w:type="spellEnd"/>
      <w:r w:rsidRPr="00ED3F05">
        <w:rPr>
          <w:rFonts w:ascii="Arial" w:hAnsi="Arial" w:cs="Arial"/>
        </w:rPr>
        <w:t>:</w:t>
      </w:r>
      <w:r w:rsidR="007573AC">
        <w:rPr>
          <w:rFonts w:ascii="Arial" w:hAnsi="Arial" w:cs="Arial"/>
        </w:rPr>
        <w:t xml:space="preserve"> c</w:t>
      </w:r>
      <w:r w:rsidRPr="00ED3F05">
        <w:rPr>
          <w:rFonts w:ascii="Arial" w:hAnsi="Arial" w:cs="Arial"/>
        </w:rPr>
        <w:t>oniugato 13-valente </w:t>
      </w:r>
      <w:r>
        <w:rPr>
          <w:rFonts w:ascii="Arial" w:hAnsi="Arial" w:cs="Arial"/>
        </w:rPr>
        <w:t xml:space="preserve">(PVC13) e </w:t>
      </w:r>
      <w:r w:rsidRPr="00ED3F05">
        <w:rPr>
          <w:rFonts w:ascii="Arial" w:hAnsi="Arial" w:cs="Arial"/>
        </w:rPr>
        <w:t>Polisaccaridico 23-valente</w:t>
      </w:r>
      <w:r w:rsidR="007573AC">
        <w:rPr>
          <w:rFonts w:ascii="Arial" w:hAnsi="Arial" w:cs="Arial"/>
        </w:rPr>
        <w:t xml:space="preserve"> (PPV23)</w:t>
      </w:r>
      <w:r>
        <w:rPr>
          <w:rFonts w:ascii="Arial" w:hAnsi="Arial" w:cs="Arial"/>
        </w:rPr>
        <w:t>.</w:t>
      </w:r>
      <w:r w:rsidR="007573AC">
        <w:rPr>
          <w:rFonts w:ascii="Arial" w:hAnsi="Arial" w:cs="Arial"/>
        </w:rPr>
        <w:t xml:space="preserve"> La </w:t>
      </w:r>
      <w:r w:rsidR="004B6616" w:rsidRPr="006F1292">
        <w:rPr>
          <w:rFonts w:ascii="Arial" w:hAnsi="Arial" w:cs="Arial"/>
        </w:rPr>
        <w:t xml:space="preserve">vaccinazione </w:t>
      </w:r>
      <w:r w:rsidR="007573AC">
        <w:rPr>
          <w:rFonts w:ascii="Arial" w:hAnsi="Arial" w:cs="Arial"/>
        </w:rPr>
        <w:t xml:space="preserve">è </w:t>
      </w:r>
      <w:r w:rsidR="004F70DA">
        <w:rPr>
          <w:rFonts w:ascii="Arial" w:hAnsi="Arial" w:cs="Arial"/>
        </w:rPr>
        <w:t xml:space="preserve">efficace </w:t>
      </w:r>
      <w:r w:rsidR="004B6616" w:rsidRPr="006F1292">
        <w:rPr>
          <w:rFonts w:ascii="Arial" w:hAnsi="Arial" w:cs="Arial"/>
        </w:rPr>
        <w:t xml:space="preserve">contro la maggior parte delle malattie invasive pneumococciche. </w:t>
      </w:r>
      <w:r w:rsidR="004F70DA" w:rsidRPr="004F70DA">
        <w:rPr>
          <w:rFonts w:ascii="Arial" w:hAnsi="Arial" w:cs="Arial"/>
        </w:rPr>
        <w:t xml:space="preserve">L’uso del vaccino </w:t>
      </w:r>
      <w:proofErr w:type="spellStart"/>
      <w:r w:rsidR="004F70DA" w:rsidRPr="004F70DA">
        <w:rPr>
          <w:rFonts w:ascii="Arial" w:hAnsi="Arial" w:cs="Arial"/>
        </w:rPr>
        <w:t>antipneumococcico</w:t>
      </w:r>
      <w:proofErr w:type="spellEnd"/>
      <w:r w:rsidR="004F70DA" w:rsidRPr="004F70DA">
        <w:rPr>
          <w:rFonts w:ascii="Arial" w:hAnsi="Arial" w:cs="Arial"/>
        </w:rPr>
        <w:t xml:space="preserve"> coniugato 13-valente </w:t>
      </w:r>
      <w:r w:rsidR="004F70DA">
        <w:rPr>
          <w:rFonts w:ascii="Arial" w:hAnsi="Arial" w:cs="Arial"/>
        </w:rPr>
        <w:t xml:space="preserve">è raccomandato </w:t>
      </w:r>
      <w:r w:rsidR="004F70DA" w:rsidRPr="004F70DA">
        <w:rPr>
          <w:rFonts w:ascii="Arial" w:hAnsi="Arial" w:cs="Arial"/>
        </w:rPr>
        <w:t>per tutti i soggetti adulti di età superiore ai 50 anni, indipendentemente dalla stor</w:t>
      </w:r>
      <w:r w:rsidR="004F70DA">
        <w:rPr>
          <w:rFonts w:ascii="Arial" w:hAnsi="Arial" w:cs="Arial"/>
        </w:rPr>
        <w:t xml:space="preserve">ia vaccinale. In particolare: negli </w:t>
      </w:r>
      <w:r w:rsidR="004F70DA" w:rsidRPr="004F70DA">
        <w:rPr>
          <w:rFonts w:ascii="Arial" w:hAnsi="Arial" w:cs="Arial"/>
        </w:rPr>
        <w:t>adult</w:t>
      </w:r>
      <w:r w:rsidR="004F70DA">
        <w:rPr>
          <w:rFonts w:ascii="Arial" w:hAnsi="Arial" w:cs="Arial"/>
        </w:rPr>
        <w:t xml:space="preserve">i naïve per il vaccino PPV23; negli </w:t>
      </w:r>
      <w:r w:rsidR="004F70DA" w:rsidRPr="004F70DA">
        <w:rPr>
          <w:rFonts w:ascii="Arial" w:hAnsi="Arial" w:cs="Arial"/>
        </w:rPr>
        <w:t xml:space="preserve">adulti precedentemente </w:t>
      </w:r>
      <w:r w:rsidR="004F70DA">
        <w:rPr>
          <w:rFonts w:ascii="Arial" w:hAnsi="Arial" w:cs="Arial"/>
        </w:rPr>
        <w:t>vaccinati (&gt;1 anno) con PPV23; negli</w:t>
      </w:r>
      <w:r w:rsidR="004F70DA" w:rsidRPr="004F70DA">
        <w:rPr>
          <w:rFonts w:ascii="Arial" w:hAnsi="Arial" w:cs="Arial"/>
        </w:rPr>
        <w:t xml:space="preserve"> adulti di cui non è nota l</w:t>
      </w:r>
      <w:r w:rsidR="004F70DA">
        <w:rPr>
          <w:rFonts w:ascii="Arial" w:hAnsi="Arial" w:cs="Arial"/>
        </w:rPr>
        <w:t>a storia vaccinale. Inoltre l</w:t>
      </w:r>
      <w:r w:rsidR="004F70DA" w:rsidRPr="004F70DA">
        <w:rPr>
          <w:rFonts w:ascii="Arial" w:hAnsi="Arial" w:cs="Arial"/>
        </w:rPr>
        <w:t>a somministrazione di una dose di P</w:t>
      </w:r>
      <w:r w:rsidR="007573AC">
        <w:rPr>
          <w:rFonts w:ascii="Arial" w:hAnsi="Arial" w:cs="Arial"/>
        </w:rPr>
        <w:t>PV23 deve eventualmente seguire</w:t>
      </w:r>
      <w:r w:rsidR="004F70DA" w:rsidRPr="004F70DA">
        <w:rPr>
          <w:rFonts w:ascii="Arial" w:hAnsi="Arial" w:cs="Arial"/>
        </w:rPr>
        <w:t xml:space="preserve"> e mai precedere, quella del vaccino </w:t>
      </w:r>
      <w:proofErr w:type="spellStart"/>
      <w:r w:rsidR="004F70DA" w:rsidRPr="004F70DA">
        <w:rPr>
          <w:rFonts w:ascii="Arial" w:hAnsi="Arial" w:cs="Arial"/>
        </w:rPr>
        <w:t>antipneumococcico</w:t>
      </w:r>
      <w:proofErr w:type="spellEnd"/>
      <w:r w:rsidR="004F70DA" w:rsidRPr="004F70DA">
        <w:rPr>
          <w:rFonts w:ascii="Arial" w:hAnsi="Arial" w:cs="Arial"/>
        </w:rPr>
        <w:t xml:space="preserve"> coniugato 13-valente; tale sequenzialità non deve essere inferiore a 8 settimane</w:t>
      </w:r>
      <w:r w:rsidR="004F70DA">
        <w:rPr>
          <w:rFonts w:ascii="Arial" w:hAnsi="Arial" w:cs="Arial"/>
        </w:rPr>
        <w:t>.</w:t>
      </w:r>
      <w:r w:rsidR="007573AC">
        <w:rPr>
          <w:rFonts w:ascii="Arial" w:hAnsi="Arial" w:cs="Arial"/>
        </w:rPr>
        <w:t xml:space="preserve"> </w:t>
      </w:r>
      <w:r w:rsidR="004B6616" w:rsidRPr="006F1292">
        <w:rPr>
          <w:rFonts w:ascii="Arial" w:hAnsi="Arial" w:cs="Arial"/>
        </w:rPr>
        <w:t xml:space="preserve">La vaccinazione è </w:t>
      </w:r>
      <w:r w:rsidR="004F70DA">
        <w:rPr>
          <w:rFonts w:ascii="Arial" w:hAnsi="Arial" w:cs="Arial"/>
        </w:rPr>
        <w:t xml:space="preserve">assolutamente </w:t>
      </w:r>
      <w:r w:rsidR="004B6616" w:rsidRPr="006F1292">
        <w:rPr>
          <w:rFonts w:ascii="Arial" w:hAnsi="Arial" w:cs="Arial"/>
        </w:rPr>
        <w:t>consigliata per le persone di tutte le età con le patologie o condizioni comprese nel seguente elenco, perché a maggior rischio di contrarre una malattia invasiva da Pneumococ</w:t>
      </w:r>
      <w:r w:rsidR="007573AC">
        <w:rPr>
          <w:rFonts w:ascii="Arial" w:hAnsi="Arial" w:cs="Arial"/>
        </w:rPr>
        <w:t>co:</w:t>
      </w:r>
      <w:r w:rsidR="004B6616" w:rsidRPr="006F1292">
        <w:rPr>
          <w:rFonts w:ascii="Arial" w:hAnsi="Arial" w:cs="Arial"/>
        </w:rPr>
        <w:t xml:space="preserve"> </w:t>
      </w:r>
    </w:p>
    <w:p w:rsidR="004B6616" w:rsidRPr="007573AC" w:rsidRDefault="004B6616" w:rsidP="004F70DA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7573AC">
        <w:rPr>
          <w:rFonts w:ascii="Arial" w:hAnsi="Arial" w:cs="Arial"/>
          <w:b/>
          <w:sz w:val="20"/>
          <w:szCs w:val="20"/>
        </w:rPr>
        <w:t xml:space="preserve">PATOLOGIE AD ALTO RISCHIO </w:t>
      </w:r>
    </w:p>
    <w:p w:rsidR="004B6616" w:rsidRPr="007573AC" w:rsidRDefault="004B6616" w:rsidP="004F70DA">
      <w:pPr>
        <w:ind w:left="708"/>
        <w:jc w:val="both"/>
        <w:rPr>
          <w:rFonts w:ascii="Arial" w:hAnsi="Arial" w:cs="Arial"/>
          <w:sz w:val="20"/>
          <w:szCs w:val="20"/>
        </w:rPr>
      </w:pPr>
      <w:r w:rsidRPr="007573AC">
        <w:rPr>
          <w:rFonts w:ascii="Arial" w:hAnsi="Arial" w:cs="Arial"/>
          <w:sz w:val="20"/>
          <w:szCs w:val="20"/>
        </w:rPr>
        <w:t>Perdite di liquido cerebrospinale (fratture craniche, fistole liquorali)</w:t>
      </w:r>
      <w:r w:rsidR="000B5119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Impianto di protesi cocleare </w:t>
      </w:r>
      <w:proofErr w:type="spellStart"/>
      <w:r w:rsidRPr="007573AC">
        <w:rPr>
          <w:rFonts w:ascii="Arial" w:hAnsi="Arial" w:cs="Arial"/>
          <w:sz w:val="20"/>
          <w:szCs w:val="20"/>
        </w:rPr>
        <w:t>Asplenia</w:t>
      </w:r>
      <w:proofErr w:type="spellEnd"/>
      <w:r w:rsidRPr="007573AC">
        <w:rPr>
          <w:rFonts w:ascii="Arial" w:hAnsi="Arial" w:cs="Arial"/>
          <w:sz w:val="20"/>
          <w:szCs w:val="20"/>
        </w:rPr>
        <w:t xml:space="preserve"> anatomica o funzionale</w:t>
      </w:r>
      <w:r w:rsidR="000B5119" w:rsidRPr="007573AC">
        <w:rPr>
          <w:rFonts w:ascii="Arial" w:hAnsi="Arial" w:cs="Arial"/>
          <w:sz w:val="20"/>
          <w:szCs w:val="20"/>
        </w:rPr>
        <w:t>.</w:t>
      </w:r>
      <w:r w:rsidR="004F70DA" w:rsidRPr="007573AC">
        <w:rPr>
          <w:rFonts w:ascii="Arial" w:hAnsi="Arial" w:cs="Arial"/>
          <w:sz w:val="20"/>
          <w:szCs w:val="20"/>
        </w:rPr>
        <w:t xml:space="preserve"> </w:t>
      </w:r>
      <w:r w:rsidRPr="007573AC">
        <w:rPr>
          <w:rFonts w:ascii="Arial" w:hAnsi="Arial" w:cs="Arial"/>
          <w:sz w:val="20"/>
          <w:szCs w:val="20"/>
        </w:rPr>
        <w:t>Emoglobinopatie (compresa anemia a cellule falciformi)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Immunodeficienza congenita (deficit di linfociti B o T, del complemento, disturbi della fagocitosi) Infezione da HIV (anche asintomatica)</w:t>
      </w:r>
      <w:r w:rsidR="004F70DA" w:rsidRPr="007573AC">
        <w:rPr>
          <w:rFonts w:ascii="Arial" w:hAnsi="Arial" w:cs="Arial"/>
          <w:sz w:val="20"/>
          <w:szCs w:val="20"/>
        </w:rPr>
        <w:t xml:space="preserve">. </w:t>
      </w:r>
      <w:r w:rsidRPr="007573AC">
        <w:rPr>
          <w:rFonts w:ascii="Arial" w:hAnsi="Arial" w:cs="Arial"/>
          <w:sz w:val="20"/>
          <w:szCs w:val="20"/>
        </w:rPr>
        <w:t>Leucemie, linfomi, mieloma multiplo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Neoplasie diffuse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Trapianto d’organo o di midollo</w:t>
      </w:r>
      <w:r w:rsidR="004F70DA" w:rsidRPr="007573AC">
        <w:rPr>
          <w:rFonts w:ascii="Arial" w:hAnsi="Arial" w:cs="Arial"/>
          <w:sz w:val="20"/>
          <w:szCs w:val="20"/>
        </w:rPr>
        <w:t xml:space="preserve">. </w:t>
      </w:r>
      <w:r w:rsidRPr="007573AC">
        <w:rPr>
          <w:rFonts w:ascii="Arial" w:hAnsi="Arial" w:cs="Arial"/>
          <w:sz w:val="20"/>
          <w:szCs w:val="20"/>
        </w:rPr>
        <w:t>Immunosoppressione iatrogena clinicamente significativa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Insufficienza renale cronica, sindrome nefrosica </w:t>
      </w:r>
    </w:p>
    <w:p w:rsidR="004B6616" w:rsidRPr="007573AC" w:rsidRDefault="004B6616" w:rsidP="004F70DA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7573AC">
        <w:rPr>
          <w:rFonts w:ascii="Arial" w:hAnsi="Arial" w:cs="Arial"/>
          <w:b/>
          <w:sz w:val="20"/>
          <w:szCs w:val="20"/>
        </w:rPr>
        <w:t>ALTRE PA</w:t>
      </w:r>
      <w:r w:rsidR="007573AC">
        <w:rPr>
          <w:rFonts w:ascii="Arial" w:hAnsi="Arial" w:cs="Arial"/>
          <w:b/>
          <w:sz w:val="20"/>
          <w:szCs w:val="20"/>
        </w:rPr>
        <w:t>TOLOGIE / CONDIZIONI</w:t>
      </w:r>
    </w:p>
    <w:p w:rsidR="004B6616" w:rsidRPr="007573AC" w:rsidRDefault="004B6616" w:rsidP="004F70DA">
      <w:pPr>
        <w:ind w:left="708"/>
        <w:jc w:val="both"/>
        <w:rPr>
          <w:rFonts w:ascii="Arial" w:hAnsi="Arial" w:cs="Arial"/>
          <w:sz w:val="20"/>
          <w:szCs w:val="20"/>
        </w:rPr>
      </w:pPr>
      <w:r w:rsidRPr="007573AC">
        <w:rPr>
          <w:rFonts w:ascii="Arial" w:hAnsi="Arial" w:cs="Arial"/>
          <w:sz w:val="20"/>
          <w:szCs w:val="20"/>
        </w:rPr>
        <w:t xml:space="preserve">Cardiopatie croniche (insufficienza coronarica o cardiaca, cardiopatia congestizia, cardiopatia congenita </w:t>
      </w:r>
      <w:proofErr w:type="spellStart"/>
      <w:r w:rsidRPr="007573AC">
        <w:rPr>
          <w:rFonts w:ascii="Arial" w:hAnsi="Arial" w:cs="Arial"/>
          <w:sz w:val="20"/>
          <w:szCs w:val="20"/>
        </w:rPr>
        <w:t>cianogena</w:t>
      </w:r>
      <w:proofErr w:type="spellEnd"/>
      <w:r w:rsidRPr="007573AC">
        <w:rPr>
          <w:rFonts w:ascii="Arial" w:hAnsi="Arial" w:cs="Arial"/>
          <w:sz w:val="20"/>
          <w:szCs w:val="20"/>
        </w:rPr>
        <w:t>, miocardiopatie)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Malattie polmonari croniche severe o con insufficienza respiratoria (BPCO clinicamente significativa, fibrosi cistica, enfisema polmonare, asma severa)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Cirrosi epatica, epatopatie croniche evolutive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Alcolismo</w:t>
      </w:r>
      <w:r w:rsid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Diabete mellito (tipo 1 e 2), in labile compenso metabolico o non compensato dalla terapia</w:t>
      </w:r>
      <w:r w:rsidR="004F70DA" w:rsidRPr="007573AC">
        <w:rPr>
          <w:rFonts w:ascii="Arial" w:hAnsi="Arial" w:cs="Arial"/>
          <w:sz w:val="20"/>
          <w:szCs w:val="20"/>
        </w:rPr>
        <w:t>.</w:t>
      </w:r>
      <w:r w:rsidRPr="007573AC">
        <w:rPr>
          <w:rFonts w:ascii="Arial" w:hAnsi="Arial" w:cs="Arial"/>
          <w:sz w:val="20"/>
          <w:szCs w:val="20"/>
        </w:rPr>
        <w:t xml:space="preserve"> Persone di età superiore ai 65 anni istituzionalizzate</w:t>
      </w:r>
      <w:r w:rsidR="004F70DA" w:rsidRPr="007573AC">
        <w:rPr>
          <w:rFonts w:ascii="Arial" w:hAnsi="Arial" w:cs="Arial"/>
          <w:sz w:val="20"/>
          <w:szCs w:val="20"/>
        </w:rPr>
        <w:t>.</w:t>
      </w:r>
    </w:p>
    <w:p w:rsidR="004B6616" w:rsidRPr="006F1292" w:rsidRDefault="004B6616" w:rsidP="004B6616">
      <w:pPr>
        <w:jc w:val="both"/>
        <w:rPr>
          <w:rFonts w:ascii="Arial" w:hAnsi="Arial" w:cs="Arial"/>
          <w:strike/>
        </w:rPr>
      </w:pPr>
      <w:r w:rsidRPr="006F1292">
        <w:rPr>
          <w:rFonts w:ascii="Arial" w:hAnsi="Arial" w:cs="Arial"/>
        </w:rPr>
        <w:t>La vaccinazione viene effettuata con un’iniezione intramuscolare nella regione deltoidea (parte alta del braccio). Le possibili reazioni indesiderate</w:t>
      </w:r>
      <w:r w:rsidR="004F70DA">
        <w:rPr>
          <w:rFonts w:ascii="Arial" w:hAnsi="Arial" w:cs="Arial"/>
        </w:rPr>
        <w:t>, comuni in entrambi i vaccini,</w:t>
      </w:r>
      <w:r w:rsidRPr="006F1292">
        <w:rPr>
          <w:rFonts w:ascii="Arial" w:hAnsi="Arial" w:cs="Arial"/>
        </w:rPr>
        <w:t xml:space="preserve"> sono: rossore, gonfiore e dolore nella sede di iniezione, febbre, diminuzione dell’appetito, </w:t>
      </w:r>
      <w:proofErr w:type="spellStart"/>
      <w:r w:rsidRPr="006F1292">
        <w:rPr>
          <w:rFonts w:ascii="Arial" w:hAnsi="Arial" w:cs="Arial"/>
        </w:rPr>
        <w:t>rash</w:t>
      </w:r>
      <w:proofErr w:type="spellEnd"/>
      <w:r w:rsidRPr="006F1292">
        <w:rPr>
          <w:rFonts w:ascii="Arial" w:hAnsi="Arial" w:cs="Arial"/>
        </w:rPr>
        <w:t xml:space="preserve"> cutaneo, mal di testa, malessere, stanchezza, vomito, dolori muscolari ed articolari, nausea, ingrossamento dei linfonodi, reazioni di ipersensibilità, disturbi neurologici, alterazioni ematologiche. </w:t>
      </w:r>
    </w:p>
    <w:p w:rsidR="004B6616" w:rsidRPr="006F1292" w:rsidRDefault="004B6616" w:rsidP="004B6616">
      <w:pPr>
        <w:jc w:val="both"/>
        <w:rPr>
          <w:rFonts w:ascii="Arial" w:hAnsi="Arial" w:cs="Arial"/>
        </w:rPr>
      </w:pPr>
      <w:r w:rsidRPr="006F1292">
        <w:rPr>
          <w:rFonts w:ascii="Arial" w:hAnsi="Arial" w:cs="Arial"/>
          <w:u w:val="single"/>
        </w:rPr>
        <w:t>In caso di effetti collaterali importanti a seguito della vaccinazione, si raccomanda di segnalarli immediatamente al proprio Medico Curante.</w:t>
      </w:r>
    </w:p>
    <w:p w:rsidR="000C28EB" w:rsidRPr="006F1292" w:rsidRDefault="004B6616" w:rsidP="004B6616">
      <w:pPr>
        <w:rPr>
          <w:rFonts w:ascii="Arial" w:hAnsi="Arial" w:cs="Arial"/>
        </w:rPr>
      </w:pPr>
      <w:r w:rsidRPr="006F1292">
        <w:rPr>
          <w:rFonts w:ascii="Arial" w:hAnsi="Arial" w:cs="Arial"/>
        </w:rPr>
        <w:t xml:space="preserve">La vaccinazione </w:t>
      </w:r>
      <w:proofErr w:type="spellStart"/>
      <w:r w:rsidRPr="006F1292">
        <w:rPr>
          <w:rFonts w:ascii="Arial" w:hAnsi="Arial" w:cs="Arial"/>
        </w:rPr>
        <w:t>antipneumococcica</w:t>
      </w:r>
      <w:proofErr w:type="spellEnd"/>
      <w:r w:rsidRPr="006F1292">
        <w:rPr>
          <w:rFonts w:ascii="Arial" w:hAnsi="Arial" w:cs="Arial"/>
        </w:rPr>
        <w:t xml:space="preserve"> può essere eseguita assieme ad altre vaccinazioni. Le controindicazioni alla vaccinazione sono: malattie infettive in atto, allergia ai componenti del vaccino, gravidanza. </w:t>
      </w:r>
      <w:bookmarkStart w:id="0" w:name="_GoBack"/>
      <w:bookmarkEnd w:id="0"/>
    </w:p>
    <w:sectPr w:rsidR="000C28EB" w:rsidRPr="006F1292" w:rsidSect="008515CD">
      <w:headerReference w:type="default" r:id="rId8"/>
      <w:footerReference w:type="default" r:id="rId9"/>
      <w:pgSz w:w="11906" w:h="16838"/>
      <w:pgMar w:top="1418" w:right="1134" w:bottom="1134" w:left="1134" w:header="568" w:footer="113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1C" w:rsidRDefault="002E371C" w:rsidP="00394069">
      <w:pPr>
        <w:spacing w:after="0" w:line="240" w:lineRule="auto"/>
      </w:pPr>
      <w:r>
        <w:separator/>
      </w:r>
    </w:p>
  </w:endnote>
  <w:endnote w:type="continuationSeparator" w:id="0">
    <w:p w:rsidR="002E371C" w:rsidRDefault="002E371C" w:rsidP="003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2E" w:rsidRDefault="00B7672E" w:rsidP="00A86224">
    <w:pPr>
      <w:pStyle w:val="Pidipagina"/>
      <w:tabs>
        <w:tab w:val="clear" w:pos="4819"/>
        <w:tab w:val="clear" w:pos="9638"/>
        <w:tab w:val="left" w:pos="3060"/>
      </w:tabs>
    </w:pPr>
  </w:p>
  <w:tbl>
    <w:tblPr>
      <w:tblW w:w="48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83"/>
      <w:gridCol w:w="2056"/>
    </w:tblGrid>
    <w:tr w:rsidR="006E0096" w:rsidRPr="006E0096" w:rsidTr="000D5924">
      <w:trPr>
        <w:cantSplit/>
        <w:trHeight w:val="807"/>
        <w:jc w:val="center"/>
      </w:trPr>
      <w:tc>
        <w:tcPr>
          <w:tcW w:w="38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MediMilano Srl – Centro Medico Polispecialistico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Via Francesco Ferrucci, 2 Milano Tel. 02 36574680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segreteria@medimilano.it - www.medimilano.it</w:t>
          </w:r>
        </w:p>
      </w:tc>
      <w:tc>
        <w:tcPr>
          <w:tcW w:w="11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Pag.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begin"/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instrText xml:space="preserve"> PAGE </w:instrTex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separate"/>
          </w:r>
          <w:r w:rsidR="007573AC">
            <w:rPr>
              <w:rFonts w:ascii="Verdana" w:hAnsi="Verdana" w:cs="Calibri"/>
              <w:noProof/>
              <w:sz w:val="18"/>
              <w:szCs w:val="18"/>
            </w:rPr>
            <w:t>1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end"/>
          </w:r>
        </w:p>
      </w:tc>
    </w:tr>
  </w:tbl>
  <w:p w:rsidR="00B7672E" w:rsidRDefault="00B7672E" w:rsidP="00B7672E">
    <w:pPr>
      <w:pStyle w:val="Pidipagina"/>
    </w:pPr>
  </w:p>
  <w:p w:rsidR="00B7672E" w:rsidRDefault="00B76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1C" w:rsidRDefault="002E371C" w:rsidP="00394069">
      <w:pPr>
        <w:spacing w:after="0" w:line="240" w:lineRule="auto"/>
      </w:pPr>
      <w:r>
        <w:separator/>
      </w:r>
    </w:p>
  </w:footnote>
  <w:footnote w:type="continuationSeparator" w:id="0">
    <w:p w:rsidR="002E371C" w:rsidRDefault="002E371C" w:rsidP="0039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838"/>
      <w:gridCol w:w="6237"/>
      <w:gridCol w:w="1553"/>
    </w:tblGrid>
    <w:tr w:rsidR="007573AC" w:rsidTr="007573AC">
      <w:trPr>
        <w:trHeight w:val="558"/>
      </w:trPr>
      <w:tc>
        <w:tcPr>
          <w:tcW w:w="1838" w:type="dxa"/>
        </w:tcPr>
        <w:p w:rsidR="007573AC" w:rsidRDefault="007573AC" w:rsidP="007573AC">
          <w:pPr>
            <w:pStyle w:val="Intestazione"/>
            <w:rPr>
              <w:rFonts w:ascii="Arial" w:hAnsi="Arial" w:cs="Arial"/>
              <w:b/>
              <w:color w:val="002060"/>
              <w:sz w:val="24"/>
              <w:szCs w:val="24"/>
            </w:rPr>
          </w:pPr>
          <w:r w:rsidRPr="006E0096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6053D26" wp14:editId="62079E17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982345" cy="266065"/>
                <wp:effectExtent l="0" t="0" r="8255" b="635"/>
                <wp:wrapTight wrapText="bothSides">
                  <wp:wrapPolygon edited="0">
                    <wp:start x="0" y="0"/>
                    <wp:lineTo x="0" y="20105"/>
                    <wp:lineTo x="21363" y="20105"/>
                    <wp:lineTo x="21363" y="0"/>
                    <wp:lineTo x="0" y="0"/>
                  </wp:wrapPolygon>
                </wp:wrapTight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iMilano-3.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34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7573AC" w:rsidRDefault="007573AC" w:rsidP="007573AC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4"/>
              <w:szCs w:val="24"/>
            </w:rPr>
          </w:pPr>
          <w:r>
            <w:rPr>
              <w:rFonts w:ascii="Arial" w:hAnsi="Arial" w:cs="Arial"/>
              <w:b/>
              <w:color w:val="002060"/>
              <w:sz w:val="24"/>
              <w:szCs w:val="24"/>
            </w:rPr>
            <w:t>VA</w:t>
          </w:r>
          <w:r w:rsidRPr="0025765C">
            <w:rPr>
              <w:rFonts w:ascii="Arial" w:hAnsi="Arial" w:cs="Arial"/>
              <w:b/>
              <w:color w:val="002060"/>
              <w:sz w:val="24"/>
              <w:szCs w:val="24"/>
            </w:rPr>
            <w:t>CCINAZIONE ANTI</w:t>
          </w:r>
          <w:r>
            <w:rPr>
              <w:rFonts w:ascii="Arial" w:hAnsi="Arial" w:cs="Arial"/>
              <w:b/>
              <w:color w:val="002060"/>
              <w:sz w:val="24"/>
              <w:szCs w:val="24"/>
            </w:rPr>
            <w:t>PNEUMOCOCCICA</w:t>
          </w:r>
        </w:p>
      </w:tc>
      <w:tc>
        <w:tcPr>
          <w:tcW w:w="1553" w:type="dxa"/>
        </w:tcPr>
        <w:p w:rsidR="007573AC" w:rsidRDefault="007573AC" w:rsidP="007573AC">
          <w:pPr>
            <w:pStyle w:val="Intestazione"/>
            <w:rPr>
              <w:rFonts w:ascii="Arial" w:hAnsi="Arial" w:cs="Arial"/>
              <w:b/>
              <w:color w:val="002060"/>
              <w:sz w:val="24"/>
              <w:szCs w:val="24"/>
            </w:rPr>
          </w:pPr>
        </w:p>
      </w:tc>
    </w:tr>
  </w:tbl>
  <w:p w:rsidR="007573AC" w:rsidRDefault="007573AC" w:rsidP="007573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D5CC4"/>
    <w:multiLevelType w:val="multilevel"/>
    <w:tmpl w:val="23E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A"/>
    <w:rsid w:val="000B5119"/>
    <w:rsid w:val="000C28EB"/>
    <w:rsid w:val="00102B10"/>
    <w:rsid w:val="001A03A7"/>
    <w:rsid w:val="001B3F6A"/>
    <w:rsid w:val="001E503B"/>
    <w:rsid w:val="00242FBF"/>
    <w:rsid w:val="0025765C"/>
    <w:rsid w:val="002B7FFC"/>
    <w:rsid w:val="002E371C"/>
    <w:rsid w:val="0034742A"/>
    <w:rsid w:val="00394069"/>
    <w:rsid w:val="004B6616"/>
    <w:rsid w:val="004F70DA"/>
    <w:rsid w:val="006709BA"/>
    <w:rsid w:val="006866CA"/>
    <w:rsid w:val="006E0096"/>
    <w:rsid w:val="006F1292"/>
    <w:rsid w:val="007573AC"/>
    <w:rsid w:val="007771EB"/>
    <w:rsid w:val="007A2DDF"/>
    <w:rsid w:val="008515CD"/>
    <w:rsid w:val="008649F4"/>
    <w:rsid w:val="009D40E9"/>
    <w:rsid w:val="009F029D"/>
    <w:rsid w:val="009F581A"/>
    <w:rsid w:val="00A032F7"/>
    <w:rsid w:val="00A86224"/>
    <w:rsid w:val="00B7672E"/>
    <w:rsid w:val="00BE2631"/>
    <w:rsid w:val="00CF4677"/>
    <w:rsid w:val="00D012DF"/>
    <w:rsid w:val="00D2645C"/>
    <w:rsid w:val="00EC43CA"/>
    <w:rsid w:val="00EC4685"/>
    <w:rsid w:val="00ED3F05"/>
    <w:rsid w:val="00F14A5E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D8C6D"/>
  <w15:chartTrackingRefBased/>
  <w15:docId w15:val="{38034E83-8348-4E5C-9812-2DC6F03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661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069"/>
  </w:style>
  <w:style w:type="paragraph" w:styleId="Pidipagina">
    <w:name w:val="footer"/>
    <w:basedOn w:val="Normale"/>
    <w:link w:val="Pidipagina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69"/>
  </w:style>
  <w:style w:type="character" w:customStyle="1" w:styleId="apple-converted-space">
    <w:name w:val="apple-converted-space"/>
    <w:basedOn w:val="Carpredefinitoparagrafo"/>
    <w:rsid w:val="00A86224"/>
  </w:style>
  <w:style w:type="character" w:styleId="Collegamentoipertestuale">
    <w:name w:val="Hyperlink"/>
    <w:basedOn w:val="Carpredefinitoparagrafo"/>
    <w:uiPriority w:val="99"/>
    <w:semiHidden/>
    <w:unhideWhenUsed/>
    <w:rsid w:val="00A8622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5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A016-F5B7-453F-9A77-4BCE860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Bonacina</dc:creator>
  <cp:keywords/>
  <dc:description/>
  <cp:lastModifiedBy>Alessandro Lizioli</cp:lastModifiedBy>
  <cp:revision>3</cp:revision>
  <dcterms:created xsi:type="dcterms:W3CDTF">2017-05-02T09:56:00Z</dcterms:created>
  <dcterms:modified xsi:type="dcterms:W3CDTF">2017-06-13T15:55:00Z</dcterms:modified>
</cp:coreProperties>
</file>